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76" w:rsidRPr="00DC3676" w:rsidRDefault="00DC3676" w:rsidP="00DC3676">
      <w:pPr>
        <w:shd w:val="clear" w:color="auto" w:fill="FFFFFF"/>
        <w:spacing w:after="0" w:line="240" w:lineRule="auto"/>
        <w:jc w:val="center"/>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CỘNG HOÀ XÃ HỘI CHỦ NGHĨA VIỆT NAM</w:t>
      </w:r>
    </w:p>
    <w:p w:rsidR="00DC3676" w:rsidRPr="00DC3676" w:rsidRDefault="00DC3676" w:rsidP="00DC3676">
      <w:pPr>
        <w:shd w:val="clear" w:color="auto" w:fill="FFFFFF"/>
        <w:spacing w:after="0" w:line="240" w:lineRule="auto"/>
        <w:jc w:val="center"/>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Độc lập – Tự do – Hạnh phúc</w:t>
      </w:r>
    </w:p>
    <w:p w:rsidR="00DC3676" w:rsidRPr="00DC3676" w:rsidRDefault="00DC3676" w:rsidP="00DC3676">
      <w:pPr>
        <w:shd w:val="clear" w:color="auto" w:fill="FFFFFF"/>
        <w:spacing w:after="0" w:line="240" w:lineRule="auto"/>
        <w:jc w:val="right"/>
        <w:textAlignment w:val="baseline"/>
        <w:rPr>
          <w:rFonts w:ascii="inherit" w:eastAsia="Times New Roman" w:hAnsi="inherit" w:cs="Arial"/>
          <w:color w:val="1D1D1D"/>
          <w:sz w:val="24"/>
          <w:szCs w:val="24"/>
        </w:rPr>
      </w:pPr>
      <w:r w:rsidRPr="00DC3676">
        <w:rPr>
          <w:rFonts w:ascii="inherit" w:eastAsia="Times New Roman" w:hAnsi="inherit" w:cs="Arial"/>
          <w:i/>
          <w:iCs/>
          <w:color w:val="1D1D1D"/>
          <w:sz w:val="24"/>
          <w:szCs w:val="24"/>
          <w:bdr w:val="none" w:sz="0" w:space="0" w:color="auto" w:frame="1"/>
        </w:rPr>
        <w:t>Hà Nội</w:t>
      </w:r>
      <w:bookmarkStart w:id="0" w:name="_GoBack"/>
      <w:bookmarkEnd w:id="0"/>
      <w:r w:rsidRPr="00DC3676">
        <w:rPr>
          <w:rFonts w:ascii="inherit" w:eastAsia="Times New Roman" w:hAnsi="inherit" w:cs="Arial"/>
          <w:i/>
          <w:iCs/>
          <w:color w:val="1D1D1D"/>
          <w:sz w:val="24"/>
          <w:szCs w:val="24"/>
          <w:bdr w:val="none" w:sz="0" w:space="0" w:color="auto" w:frame="1"/>
        </w:rPr>
        <w:t>, ngày 23 tháng 9 năm 2020</w:t>
      </w:r>
    </w:p>
    <w:p w:rsidR="00DC3676" w:rsidRPr="00DC3676" w:rsidRDefault="00DC3676" w:rsidP="00DC3676">
      <w:pPr>
        <w:shd w:val="clear" w:color="auto" w:fill="FFFFFF"/>
        <w:spacing w:after="0" w:line="240" w:lineRule="auto"/>
        <w:jc w:val="center"/>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HỢP ĐỒNG TƯ VẤN TÀI CHÍNH DOANH NGHIỆP</w:t>
      </w:r>
    </w:p>
    <w:p w:rsidR="00DC3676" w:rsidRPr="00DC3676" w:rsidRDefault="00DC3676" w:rsidP="00DC3676">
      <w:pPr>
        <w:shd w:val="clear" w:color="auto" w:fill="FFFFFF"/>
        <w:spacing w:after="0" w:line="240" w:lineRule="auto"/>
        <w:jc w:val="center"/>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Số: 143/HĐTV-OCD</w:t>
      </w:r>
    </w:p>
    <w:p w:rsidR="00DC3676" w:rsidRPr="00DC3676" w:rsidRDefault="00DC3676" w:rsidP="00DC3676">
      <w:pPr>
        <w:numPr>
          <w:ilvl w:val="0"/>
          <w:numId w:val="1"/>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i/>
          <w:iCs/>
          <w:color w:val="1D1D1D"/>
          <w:sz w:val="24"/>
          <w:szCs w:val="24"/>
          <w:bdr w:val="none" w:sz="0" w:space="0" w:color="auto" w:frame="1"/>
        </w:rPr>
        <w:t>Căn cứ Bộ luật Dân sự 2015;</w:t>
      </w:r>
    </w:p>
    <w:p w:rsidR="00DC3676" w:rsidRPr="00DC3676" w:rsidRDefault="00DC3676" w:rsidP="00DC3676">
      <w:pPr>
        <w:numPr>
          <w:ilvl w:val="0"/>
          <w:numId w:val="1"/>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i/>
          <w:iCs/>
          <w:color w:val="1D1D1D"/>
          <w:sz w:val="24"/>
          <w:szCs w:val="24"/>
          <w:bdr w:val="none" w:sz="0" w:space="0" w:color="auto" w:frame="1"/>
        </w:rPr>
        <w:t>Căn cứ Luật Doanh nghiệp 2020;</w:t>
      </w:r>
    </w:p>
    <w:p w:rsidR="00DC3676" w:rsidRPr="00DC3676" w:rsidRDefault="00DC3676" w:rsidP="00DC3676">
      <w:pPr>
        <w:numPr>
          <w:ilvl w:val="0"/>
          <w:numId w:val="1"/>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i/>
          <w:iCs/>
          <w:color w:val="1D1D1D"/>
          <w:sz w:val="24"/>
          <w:szCs w:val="24"/>
          <w:bdr w:val="none" w:sz="0" w:space="0" w:color="auto" w:frame="1"/>
        </w:rPr>
        <w:t>Căn cứ Luật Thương mại năm 2005;</w:t>
      </w:r>
    </w:p>
    <w:p w:rsidR="00DC3676" w:rsidRPr="00DC3676" w:rsidRDefault="00DC3676" w:rsidP="00DC3676">
      <w:pPr>
        <w:numPr>
          <w:ilvl w:val="0"/>
          <w:numId w:val="1"/>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i/>
          <w:iCs/>
          <w:color w:val="1D1D1D"/>
          <w:sz w:val="24"/>
          <w:szCs w:val="24"/>
          <w:bdr w:val="none" w:sz="0" w:space="0" w:color="auto" w:frame="1"/>
        </w:rPr>
        <w:t>Căn cứ nhu cầu và khả năng của hai bên.</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Hôm nay, ngày 23 tháng 9 năm 2020 tại </w:t>
      </w:r>
      <w:r w:rsidRPr="00DC3676">
        <w:rPr>
          <w:rFonts w:ascii="inherit" w:eastAsia="Times New Roman" w:hAnsi="inherit" w:cs="Arial"/>
          <w:i/>
          <w:iCs/>
          <w:color w:val="1D1D1D"/>
          <w:sz w:val="24"/>
          <w:szCs w:val="24"/>
          <w:bdr w:val="none" w:sz="0" w:space="0" w:color="auto" w:frame="1"/>
        </w:rPr>
        <w:t>CÔNG TY CỔ PHẦN TƯ VẤN QUẢN LÝ OCD</w:t>
      </w:r>
      <w:r w:rsidRPr="00DC3676">
        <w:rPr>
          <w:rFonts w:ascii="inherit" w:eastAsia="Times New Roman" w:hAnsi="inherit" w:cs="Arial"/>
          <w:color w:val="1D1D1D"/>
          <w:sz w:val="24"/>
          <w:szCs w:val="24"/>
        </w:rPr>
        <w:t> địa chỉ số 27 ngõ 178 đường Giải Phóng, Phường Phương Liệt, Quận Thanh Xuân, Thành phố Hà Nội. Chúng tôi gồm:</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1. BÊN A (BÊN CUNG CẤP DỊCH VỤ):</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Tên doanh nghiệp: CÔNG TY CỔ PHẦN CHỨNG KHOÁN PHỐ WALL</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Mã số doanh nghiệp/ Mã số thuế: 0102590252</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Địa chỉ trụ sở chính: Tầng 9, toà nhà ICON4, số 243A Đê La Thành, quận Đống Đa, Thành phố Hà Nội</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Người đại diện theo pháp luật: NGUYỄN VĂN A</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Chức danh: Giám đốc</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Số tài khoản: 8309823837xxx</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Tại ngân hàng Nông nghiệp và Phát triển Nông thôn Việt Nam – Chi nhánh Hải Dương</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2. BÊN B (BÊN SỬ DỤNG DỊCH VỤ):</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Tên doanh nghiệp: CÔNG TY LIÊN DOANH VẬN CHUYỂN QUỐC TẾ HẢI VÂN</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Mã số doanh nghiệp/ Mã số thuế: 0800290724</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Địa chỉ trụ sở chính: Số nhà 10.15 đường Lương Thế Vinh, khu đô thị mới phía Đông, Phường Hải Tân, Thành phố Hải Dương, tỉnh Hải Dương.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Người đại diện theo pháp luật: TRẦN VĂN B</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Chức danh: Giám đốc</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Sau khi bàn bạc, chúng tôi đã thống nhất thành lập hợp đồng tư vấn chiến lược kinh doanh (từ giờ gọi tắt là </w:t>
      </w:r>
      <w:r w:rsidRPr="00DC3676">
        <w:rPr>
          <w:rFonts w:ascii="inherit" w:eastAsia="Times New Roman" w:hAnsi="inherit" w:cs="Arial"/>
          <w:b/>
          <w:bCs/>
          <w:i/>
          <w:iCs/>
          <w:color w:val="1D1D1D"/>
          <w:sz w:val="24"/>
          <w:szCs w:val="24"/>
          <w:bdr w:val="none" w:sz="0" w:space="0" w:color="auto" w:frame="1"/>
        </w:rPr>
        <w:t>“hợp đồng”</w:t>
      </w:r>
      <w:r w:rsidRPr="00DC3676">
        <w:rPr>
          <w:rFonts w:ascii="inherit" w:eastAsia="Times New Roman" w:hAnsi="inherit" w:cs="Arial"/>
          <w:b/>
          <w:bCs/>
          <w:color w:val="1D1D1D"/>
          <w:sz w:val="24"/>
          <w:szCs w:val="24"/>
          <w:bdr w:val="none" w:sz="0" w:space="0" w:color="auto" w:frame="1"/>
        </w:rPr>
        <w:t>) với những nội dung sau:</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1: ĐIỀU KHOẢN CHUNG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A là công ty cung cấp dịch vụ tư vấn tài chính cho doanh nghiệp và bên B có nhu cầu sử dụng dịch vụ của bên A. Do đó, hai bên cùng thống nhất ký kết hợp đồng với những nội dung cụ thể sau:</w:t>
      </w:r>
    </w:p>
    <w:p w:rsidR="00DC3676" w:rsidRPr="00DC3676" w:rsidRDefault="00DC3676" w:rsidP="00DC3676">
      <w:pPr>
        <w:numPr>
          <w:ilvl w:val="0"/>
          <w:numId w:val="2"/>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Tên dịch vụ: Tư vấn cổ phần hoá</w:t>
      </w:r>
    </w:p>
    <w:p w:rsidR="00DC3676" w:rsidRPr="00DC3676" w:rsidRDefault="00DC3676" w:rsidP="00DC3676">
      <w:pPr>
        <w:numPr>
          <w:ilvl w:val="0"/>
          <w:numId w:val="2"/>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Thuộc dịch vụ: Tư vấn tài chính doanh nghiệp</w:t>
      </w:r>
    </w:p>
    <w:p w:rsidR="00DC3676" w:rsidRPr="00DC3676" w:rsidRDefault="00DC3676" w:rsidP="00DC3676">
      <w:pPr>
        <w:numPr>
          <w:ilvl w:val="0"/>
          <w:numId w:val="2"/>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Mục đích: Thúc đẩy nhanh quá trình cổ phần hoá, chuyển đổi mô hình doanh nghiệp từ công ty liên doanh sang công ty cổ phần.</w:t>
      </w:r>
    </w:p>
    <w:p w:rsidR="00DC3676" w:rsidRPr="00DC3676" w:rsidRDefault="00DC3676" w:rsidP="00DC3676">
      <w:pPr>
        <w:numPr>
          <w:ilvl w:val="0"/>
          <w:numId w:val="2"/>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lastRenderedPageBreak/>
        <w:t>Thời hạn tư vấn: 02- 04 tháng tuỳ tình hình doanh nghiệp, bắt đầu từ ngày 01 tháng 10 năm 2020.</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2: NỘI DUNG TƯ VẤN</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Dựa trên nhu cầu của bên B, bên A sẽ cung cấp dịch vụ tư vấn trên phạm vi thực hiện công việc cụ thể như sau:</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Xây dựng lộ trình cổ phần hoá;</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Xác định giá trị doanh nghiệp;</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Xây dựng phương án cổ phần hoá;</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Lập hồ sơ và thực hiện bán cổ phần;</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Tìm kiếm và lựa chọn nhà đầu tư chiến lược;</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Xây dựng điều lệ công ty cổ phần, tổ chức đại hội đồng cổ đông;</w:t>
      </w:r>
    </w:p>
    <w:p w:rsidR="00DC3676" w:rsidRPr="00DC3676" w:rsidRDefault="00DC3676" w:rsidP="00DC3676">
      <w:pPr>
        <w:numPr>
          <w:ilvl w:val="0"/>
          <w:numId w:val="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Cung cấp các dịch vụ sau khi chuyển đổi mô hình doanh nghiệp.</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3: THANH TOÁN</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1. Phí dịch vụ tư vấn chiến lược kinh doanh là 20.000.000 VNĐ </w:t>
      </w:r>
      <w:r w:rsidRPr="00DC3676">
        <w:rPr>
          <w:rFonts w:ascii="inherit" w:eastAsia="Times New Roman" w:hAnsi="inherit" w:cs="Arial"/>
          <w:i/>
          <w:iCs/>
          <w:color w:val="1D1D1D"/>
          <w:sz w:val="24"/>
          <w:szCs w:val="24"/>
          <w:bdr w:val="none" w:sz="0" w:space="0" w:color="auto" w:frame="1"/>
        </w:rPr>
        <w:t>(Bằng chữ: Hai mươi triệu Việt Nam Đồng)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2. Số tiền trên không bao gồm 10% VAT, nếu bên B có nhu cầu lấy hoá đơn, bên A sẽ tính phí VAT.</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3. Nếu không có thoả thuận khác, bên B sẽ thanh toán cho bên A thành 02 lần:</w:t>
      </w:r>
    </w:p>
    <w:p w:rsidR="00DC3676" w:rsidRPr="00DC3676" w:rsidRDefault="00DC3676" w:rsidP="00DC3676">
      <w:pPr>
        <w:numPr>
          <w:ilvl w:val="0"/>
          <w:numId w:val="4"/>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Lần 1: Sau khi xây dựng lộ trình cổ phần hoá, bên B sẽ thanh toán trước cho bên A 70% tổng phí dịch vụ.</w:t>
      </w:r>
    </w:p>
    <w:p w:rsidR="00DC3676" w:rsidRPr="00DC3676" w:rsidRDefault="00DC3676" w:rsidP="00DC3676">
      <w:pPr>
        <w:numPr>
          <w:ilvl w:val="0"/>
          <w:numId w:val="5"/>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Lần 2: Ngay sau khi hoàn thành điều lệ công ty cổ phần, tổ chức đại hội đồng cổ đông cổ phần, bên B sẽ thanh toán cho bên A 30% mức phí dịch vụ còn lại.</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4. Hình thức thanh toán: Chuyển khoản</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5. Tài khoản nhận phí dịch vụ:</w:t>
      </w:r>
    </w:p>
    <w:p w:rsidR="00DC3676" w:rsidRPr="00DC3676" w:rsidRDefault="00DC3676" w:rsidP="00DC3676">
      <w:pPr>
        <w:numPr>
          <w:ilvl w:val="0"/>
          <w:numId w:val="6"/>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Chủ tài khoản: NGUYEN VAN A</w:t>
      </w:r>
    </w:p>
    <w:p w:rsidR="00DC3676" w:rsidRPr="00DC3676" w:rsidRDefault="00DC3676" w:rsidP="00DC3676">
      <w:pPr>
        <w:numPr>
          <w:ilvl w:val="0"/>
          <w:numId w:val="7"/>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Số tài khoản: 8309823837xxx</w:t>
      </w:r>
    </w:p>
    <w:p w:rsidR="00DC3676" w:rsidRPr="00DC3676" w:rsidRDefault="00DC3676" w:rsidP="00DC3676">
      <w:pPr>
        <w:numPr>
          <w:ilvl w:val="0"/>
          <w:numId w:val="8"/>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Tại ngân hàng Nông nghiệp và Phát triển Nông thôn Việt Nam – Chi nhánh Hải Dương</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4: QUYỀN VÀ NGHĨA VỤ CỦA BÊN A</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1. Quyền:</w:t>
      </w:r>
    </w:p>
    <w:p w:rsidR="00DC3676" w:rsidRPr="00DC3676" w:rsidRDefault="00DC3676" w:rsidP="00DC3676">
      <w:pPr>
        <w:numPr>
          <w:ilvl w:val="0"/>
          <w:numId w:val="9"/>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A được quyền lấy và khai thác những thông tin, tài liệu, hồ sơ cần thiết của bên B để thực hiện nội dung công việc của mình theo đúng thoả thuận trong hợp đồng;</w:t>
      </w:r>
    </w:p>
    <w:p w:rsidR="00DC3676" w:rsidRPr="00DC3676" w:rsidRDefault="00DC3676" w:rsidP="00DC3676">
      <w:pPr>
        <w:numPr>
          <w:ilvl w:val="0"/>
          <w:numId w:val="10"/>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A được nhận phí tư vấn dịch vụ theo đúng nội dung quy định tại Điều 3 hợp đồng này.</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2. Nghĩa vụ:</w:t>
      </w:r>
    </w:p>
    <w:p w:rsidR="00DC3676" w:rsidRPr="00DC3676" w:rsidRDefault="00DC3676" w:rsidP="00DC3676">
      <w:pPr>
        <w:numPr>
          <w:ilvl w:val="0"/>
          <w:numId w:val="11"/>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A phải cử đội ngũ chuyên gia, chuyên viên uy tín có kinh nghiệm từ 05 năm trở lên để thực hiện tốt công việc cho bên B;</w:t>
      </w:r>
    </w:p>
    <w:p w:rsidR="00DC3676" w:rsidRPr="00DC3676" w:rsidRDefault="00DC3676" w:rsidP="00DC3676">
      <w:pPr>
        <w:numPr>
          <w:ilvl w:val="0"/>
          <w:numId w:val="12"/>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A có trách nhiệm hỗ trợ, tư vấn và giải đáp thắc mắc trong quá trình thực hiện công việc cho bên B;</w:t>
      </w:r>
    </w:p>
    <w:p w:rsidR="00DC3676" w:rsidRPr="00DC3676" w:rsidRDefault="00DC3676" w:rsidP="00DC3676">
      <w:pPr>
        <w:numPr>
          <w:ilvl w:val="0"/>
          <w:numId w:val="13"/>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 xml:space="preserve">Bên A phải cam kết bảo mật thông tin, tài liệu, hồ sơ liên quan mà bên B cung </w:t>
      </w:r>
      <w:proofErr w:type="gramStart"/>
      <w:r w:rsidRPr="00DC3676">
        <w:rPr>
          <w:rFonts w:ascii="inherit" w:eastAsia="Times New Roman" w:hAnsi="inherit" w:cs="Arial"/>
          <w:color w:val="1D1D1D"/>
          <w:sz w:val="24"/>
          <w:szCs w:val="24"/>
        </w:rPr>
        <w:t>cấp;.</w:t>
      </w:r>
      <w:proofErr w:type="gramEnd"/>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5: QUYỀN VÀ NGHĨA VỤ CỦA BÊN B</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1. Quyền:</w:t>
      </w:r>
    </w:p>
    <w:p w:rsidR="00DC3676" w:rsidRPr="00DC3676" w:rsidRDefault="00DC3676" w:rsidP="00DC3676">
      <w:pPr>
        <w:numPr>
          <w:ilvl w:val="0"/>
          <w:numId w:val="14"/>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B có quyền yêu cầu và bàn bạc lại với bên A sửa đổi lộ trình cổ phần hoá để phù hợp hơn với tình hình doanh nghiệp;</w:t>
      </w:r>
    </w:p>
    <w:p w:rsidR="00DC3676" w:rsidRPr="00DC3676" w:rsidRDefault="00DC3676" w:rsidP="00DC3676">
      <w:pPr>
        <w:numPr>
          <w:ilvl w:val="0"/>
          <w:numId w:val="15"/>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lastRenderedPageBreak/>
        <w:t>Bên B có quyền thắc mắc và yêu cầu bên A hỗ trợ, tư vấn và giải đáp thắc mắc trong quá trình bên A thực hiện công việc;</w:t>
      </w:r>
    </w:p>
    <w:p w:rsidR="00DC3676" w:rsidRPr="00DC3676" w:rsidRDefault="00DC3676" w:rsidP="00DC3676">
      <w:pPr>
        <w:numPr>
          <w:ilvl w:val="0"/>
          <w:numId w:val="16"/>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B có quyền yêu cầu bên A hỗ trợ, tư vấn cho mình trong quá trình chuyển đổi mô hình doanh nghiệp.</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2. Nghĩa vụ:</w:t>
      </w:r>
    </w:p>
    <w:p w:rsidR="00DC3676" w:rsidRPr="00DC3676" w:rsidRDefault="00DC3676" w:rsidP="00DC3676">
      <w:pPr>
        <w:numPr>
          <w:ilvl w:val="0"/>
          <w:numId w:val="17"/>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B có trách nhiệm cung cấp những thông tin, tài liệu, hồ sơ cần thiết cho bên A để bên A thực hiện nội dung công việc của mình theo đúng thoả thuận trong hợp đồng;</w:t>
      </w:r>
    </w:p>
    <w:p w:rsidR="00DC3676" w:rsidRPr="00DC3676" w:rsidRDefault="00DC3676" w:rsidP="00DC3676">
      <w:pPr>
        <w:numPr>
          <w:ilvl w:val="0"/>
          <w:numId w:val="18"/>
        </w:numPr>
        <w:shd w:val="clear" w:color="auto" w:fill="FFFFFF"/>
        <w:spacing w:after="0" w:line="240" w:lineRule="auto"/>
        <w:ind w:left="300" w:right="300"/>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Bên B có nghĩa vụ thanh toán cho bên A phí tư vấn dịch vụ theo đúng nội dung quy định tại Điều 3 hợp đồng này.</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6: BỒI THƯỜNG HỢP ĐỒNG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1. Nếu một bên vi phạm thì bên còn lại có quyền yêu cầu bồi thường thiệt hại cho lợi ích mà lẽ ra sẽ được hưởng do hợp đồng mang lại đối với hành vi trực tiếp gây ra thiệt hại.</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2. Bên vi phạm có nghĩa vụ chi trả chi phí phát sinh do không hoàn thành nghĩa vụ hợp đồng mà không trùng lặp với mức bồi thường thiệt hại cho lợi ích mà hợp đồng mang lại.</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7: GIẢI QUYẾT TRANH CHẤP</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1. Khi hai bên xảy ra tranh chấp sẽ ưu tiên giải quyết tranh chấp bằng thương lượng và phải được lập thành văn bản.</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2. Nếu sau 03 lần tổ chức thương lượng, hai bên không thể thống nhất thoả thuận giải quyết tranh chấp, một hoặc cả hai bên có quyền đưa ra Toà án nhân dân quận Thanh Xuân để giải quyết.</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3. Mọi trường hợp tranh chấp, khiếu nại đều phải gửi cho các bên liên quan bằng văn bản chính thức.</w:t>
      </w:r>
    </w:p>
    <w:p w:rsidR="00DC3676" w:rsidRPr="00DC3676" w:rsidRDefault="00DC3676" w:rsidP="00DC3676">
      <w:pPr>
        <w:shd w:val="clear" w:color="auto" w:fill="FFFFFF"/>
        <w:spacing w:after="0" w:line="240" w:lineRule="auto"/>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ĐIỀU 8: HIỆU LỰC HỢP ĐỒNG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1. Hợp đồng có hiệu lực bắt đầu từ thời điểm các bên ký kết.</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2. Các bên cam kết thực hiện đầy đủ các điều khoản của hợp đồng.</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3. Hợp đồng này gồm 05 trang được lập thành 02 bản có giá trị pháp lý như nhau, mỗi bên giữ 01 bản.</w:t>
      </w:r>
    </w:p>
    <w:p w:rsidR="00DC3676" w:rsidRPr="00DC3676" w:rsidRDefault="00DC3676" w:rsidP="00DC3676">
      <w:pPr>
        <w:shd w:val="clear" w:color="auto" w:fill="FFFFFF"/>
        <w:spacing w:after="180" w:line="240" w:lineRule="auto"/>
        <w:textAlignment w:val="baseline"/>
        <w:rPr>
          <w:rFonts w:ascii="inherit" w:eastAsia="Times New Roman" w:hAnsi="inherit" w:cs="Arial"/>
          <w:color w:val="1D1D1D"/>
          <w:sz w:val="24"/>
          <w:szCs w:val="24"/>
        </w:rPr>
      </w:pPr>
      <w:r w:rsidRPr="00DC3676">
        <w:rPr>
          <w:rFonts w:ascii="inherit" w:eastAsia="Times New Roman" w:hAnsi="inherit" w:cs="Arial"/>
          <w:color w:val="1D1D1D"/>
          <w:sz w:val="24"/>
          <w:szCs w:val="24"/>
        </w:rPr>
        <w:t>Hai bên đã cùng nhau đọc lại hợp đồng, thống nhất với nội dung trên và đồng ý ký tên./.</w:t>
      </w:r>
    </w:p>
    <w:p w:rsidR="00DC3676" w:rsidRPr="00DC3676" w:rsidRDefault="00DC3676" w:rsidP="00DC3676">
      <w:pPr>
        <w:shd w:val="clear" w:color="auto" w:fill="FFFFFF"/>
        <w:spacing w:after="150" w:line="240" w:lineRule="auto"/>
        <w:jc w:val="center"/>
        <w:textAlignment w:val="baseline"/>
        <w:rPr>
          <w:rFonts w:ascii="inherit" w:eastAsia="Times New Roman" w:hAnsi="inherit" w:cs="Arial"/>
          <w:color w:val="1D1D1D"/>
          <w:sz w:val="24"/>
          <w:szCs w:val="24"/>
        </w:rPr>
      </w:pPr>
      <w:r w:rsidRPr="00DC3676">
        <w:rPr>
          <w:rFonts w:ascii="inherit" w:eastAsia="Times New Roman" w:hAnsi="inherit" w:cs="Arial"/>
          <w:b/>
          <w:bCs/>
          <w:color w:val="1D1D1D"/>
          <w:sz w:val="24"/>
          <w:szCs w:val="24"/>
          <w:bdr w:val="none" w:sz="0" w:space="0" w:color="auto" w:frame="1"/>
        </w:rPr>
        <w:t>CHỮ KÝ CÁC BÊN</w:t>
      </w:r>
    </w:p>
    <w:tbl>
      <w:tblPr>
        <w:tblW w:w="1021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125"/>
        <w:gridCol w:w="5094"/>
      </w:tblGrid>
      <w:tr w:rsidR="00DC3676" w:rsidRPr="00DC3676" w:rsidTr="00DC3676">
        <w:tc>
          <w:tcPr>
            <w:tcW w:w="0" w:type="auto"/>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DC3676" w:rsidRPr="00DC3676" w:rsidRDefault="00DC3676" w:rsidP="00DC3676">
            <w:pPr>
              <w:spacing w:after="0" w:line="240" w:lineRule="auto"/>
              <w:jc w:val="center"/>
              <w:rPr>
                <w:rFonts w:ascii="inherit" w:eastAsia="Times New Roman" w:hAnsi="inherit" w:cs="Times New Roman"/>
                <w:sz w:val="24"/>
                <w:szCs w:val="24"/>
              </w:rPr>
            </w:pPr>
            <w:r w:rsidRPr="00DC3676">
              <w:rPr>
                <w:rFonts w:ascii="inherit" w:eastAsia="Times New Roman" w:hAnsi="inherit" w:cs="Times New Roman"/>
                <w:b/>
                <w:bCs/>
                <w:sz w:val="24"/>
                <w:szCs w:val="24"/>
                <w:bdr w:val="none" w:sz="0" w:space="0" w:color="auto" w:frame="1"/>
              </w:rPr>
              <w:t>ĐẠI DIỆN BÊN A</w:t>
            </w:r>
            <w:r w:rsidRPr="00DC3676">
              <w:rPr>
                <w:rFonts w:ascii="inherit" w:eastAsia="Times New Roman" w:hAnsi="inherit" w:cs="Times New Roman"/>
                <w:sz w:val="24"/>
                <w:szCs w:val="24"/>
              </w:rPr>
              <w:br/>
            </w:r>
            <w:r w:rsidRPr="00DC3676">
              <w:rPr>
                <w:rFonts w:ascii="inherit" w:eastAsia="Times New Roman" w:hAnsi="inherit" w:cs="Times New Roman"/>
                <w:b/>
                <w:bCs/>
                <w:i/>
                <w:iCs/>
                <w:sz w:val="24"/>
                <w:szCs w:val="24"/>
                <w:bdr w:val="none" w:sz="0" w:space="0" w:color="auto" w:frame="1"/>
              </w:rPr>
              <w:t>(Ký, ghi rõ họ tên)</w:t>
            </w:r>
            <w:r w:rsidRPr="00DC3676">
              <w:rPr>
                <w:rFonts w:ascii="inherit" w:eastAsia="Times New Roman" w:hAnsi="inherit" w:cs="Times New Roman"/>
                <w:sz w:val="24"/>
                <w:szCs w:val="24"/>
              </w:rPr>
              <w:br/>
            </w:r>
            <w:r w:rsidRPr="00DC3676">
              <w:rPr>
                <w:rFonts w:ascii="inherit" w:eastAsia="Times New Roman" w:hAnsi="inherit" w:cs="Times New Roman"/>
                <w:sz w:val="24"/>
                <w:szCs w:val="24"/>
              </w:rPr>
              <w:br/>
            </w:r>
            <w:r w:rsidRPr="00DC3676">
              <w:rPr>
                <w:rFonts w:ascii="inherit" w:eastAsia="Times New Roman" w:hAnsi="inherit" w:cs="Times New Roman"/>
                <w:sz w:val="24"/>
                <w:szCs w:val="24"/>
              </w:rPr>
              <w:br/>
            </w:r>
            <w:r w:rsidRPr="00DC3676">
              <w:rPr>
                <w:rFonts w:ascii="inherit" w:eastAsia="Times New Roman" w:hAnsi="inherit" w:cs="Times New Roman"/>
                <w:b/>
                <w:bCs/>
                <w:sz w:val="24"/>
                <w:szCs w:val="24"/>
                <w:bdr w:val="none" w:sz="0" w:space="0" w:color="auto" w:frame="1"/>
              </w:rPr>
              <w:t>NGUYỄN VĂN A</w:t>
            </w:r>
          </w:p>
        </w:tc>
        <w:tc>
          <w:tcPr>
            <w:tcW w:w="0" w:type="auto"/>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DC3676" w:rsidRPr="00DC3676" w:rsidRDefault="00DC3676" w:rsidP="00DC3676">
            <w:pPr>
              <w:spacing w:after="0" w:line="240" w:lineRule="auto"/>
              <w:jc w:val="center"/>
              <w:rPr>
                <w:rFonts w:ascii="inherit" w:eastAsia="Times New Roman" w:hAnsi="inherit" w:cs="Times New Roman"/>
                <w:sz w:val="24"/>
                <w:szCs w:val="24"/>
              </w:rPr>
            </w:pPr>
            <w:r w:rsidRPr="00DC3676">
              <w:rPr>
                <w:rFonts w:ascii="inherit" w:eastAsia="Times New Roman" w:hAnsi="inherit" w:cs="Times New Roman"/>
                <w:b/>
                <w:bCs/>
                <w:sz w:val="24"/>
                <w:szCs w:val="24"/>
                <w:bdr w:val="none" w:sz="0" w:space="0" w:color="auto" w:frame="1"/>
              </w:rPr>
              <w:t>ĐẠI DIỆN BÊN B</w:t>
            </w:r>
            <w:r w:rsidRPr="00DC3676">
              <w:rPr>
                <w:rFonts w:ascii="inherit" w:eastAsia="Times New Roman" w:hAnsi="inherit" w:cs="Times New Roman"/>
                <w:sz w:val="24"/>
                <w:szCs w:val="24"/>
              </w:rPr>
              <w:br/>
            </w:r>
            <w:r w:rsidRPr="00DC3676">
              <w:rPr>
                <w:rFonts w:ascii="inherit" w:eastAsia="Times New Roman" w:hAnsi="inherit" w:cs="Times New Roman"/>
                <w:b/>
                <w:bCs/>
                <w:i/>
                <w:iCs/>
                <w:sz w:val="24"/>
                <w:szCs w:val="24"/>
                <w:bdr w:val="none" w:sz="0" w:space="0" w:color="auto" w:frame="1"/>
              </w:rPr>
              <w:t>(Ký, ghi rõ họ tên)</w:t>
            </w:r>
            <w:r w:rsidRPr="00DC3676">
              <w:rPr>
                <w:rFonts w:ascii="inherit" w:eastAsia="Times New Roman" w:hAnsi="inherit" w:cs="Times New Roman"/>
                <w:sz w:val="24"/>
                <w:szCs w:val="24"/>
              </w:rPr>
              <w:br/>
            </w:r>
            <w:r w:rsidRPr="00DC3676">
              <w:rPr>
                <w:rFonts w:ascii="inherit" w:eastAsia="Times New Roman" w:hAnsi="inherit" w:cs="Times New Roman"/>
                <w:sz w:val="24"/>
                <w:szCs w:val="24"/>
              </w:rPr>
              <w:br/>
            </w:r>
            <w:r w:rsidRPr="00DC3676">
              <w:rPr>
                <w:rFonts w:ascii="inherit" w:eastAsia="Times New Roman" w:hAnsi="inherit" w:cs="Times New Roman"/>
                <w:sz w:val="24"/>
                <w:szCs w:val="24"/>
              </w:rPr>
              <w:br/>
            </w:r>
            <w:r w:rsidRPr="00DC3676">
              <w:rPr>
                <w:rFonts w:ascii="inherit" w:eastAsia="Times New Roman" w:hAnsi="inherit" w:cs="Times New Roman"/>
                <w:b/>
                <w:bCs/>
                <w:sz w:val="24"/>
                <w:szCs w:val="24"/>
                <w:bdr w:val="none" w:sz="0" w:space="0" w:color="auto" w:frame="1"/>
              </w:rPr>
              <w:t>TRẦN VĂN B</w:t>
            </w:r>
          </w:p>
        </w:tc>
      </w:tr>
    </w:tbl>
    <w:p w:rsidR="00976123" w:rsidRDefault="00976123"/>
    <w:sectPr w:rsidR="0097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448"/>
    <w:multiLevelType w:val="multilevel"/>
    <w:tmpl w:val="4E68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162BC"/>
    <w:multiLevelType w:val="multilevel"/>
    <w:tmpl w:val="2AC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652E7"/>
    <w:multiLevelType w:val="multilevel"/>
    <w:tmpl w:val="4B14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E2E1C"/>
    <w:multiLevelType w:val="multilevel"/>
    <w:tmpl w:val="6AD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D5244"/>
    <w:multiLevelType w:val="multilevel"/>
    <w:tmpl w:val="81E6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32CBE"/>
    <w:multiLevelType w:val="multilevel"/>
    <w:tmpl w:val="637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57C78"/>
    <w:multiLevelType w:val="multilevel"/>
    <w:tmpl w:val="96E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E5FDC"/>
    <w:multiLevelType w:val="multilevel"/>
    <w:tmpl w:val="A35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D218F"/>
    <w:multiLevelType w:val="multilevel"/>
    <w:tmpl w:val="3136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C3E2B"/>
    <w:multiLevelType w:val="multilevel"/>
    <w:tmpl w:val="5DC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E67382"/>
    <w:multiLevelType w:val="multilevel"/>
    <w:tmpl w:val="0B6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5015E"/>
    <w:multiLevelType w:val="multilevel"/>
    <w:tmpl w:val="30A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66013"/>
    <w:multiLevelType w:val="multilevel"/>
    <w:tmpl w:val="2874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D0947"/>
    <w:multiLevelType w:val="multilevel"/>
    <w:tmpl w:val="437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720E77"/>
    <w:multiLevelType w:val="multilevel"/>
    <w:tmpl w:val="4AD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DD6EC5"/>
    <w:multiLevelType w:val="multilevel"/>
    <w:tmpl w:val="A524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F2644"/>
    <w:multiLevelType w:val="multilevel"/>
    <w:tmpl w:val="6FF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A04C1E"/>
    <w:multiLevelType w:val="multilevel"/>
    <w:tmpl w:val="A09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9"/>
  </w:num>
  <w:num w:numId="4">
    <w:abstractNumId w:val="2"/>
  </w:num>
  <w:num w:numId="5">
    <w:abstractNumId w:val="16"/>
  </w:num>
  <w:num w:numId="6">
    <w:abstractNumId w:val="12"/>
  </w:num>
  <w:num w:numId="7">
    <w:abstractNumId w:val="15"/>
  </w:num>
  <w:num w:numId="8">
    <w:abstractNumId w:val="1"/>
  </w:num>
  <w:num w:numId="9">
    <w:abstractNumId w:val="4"/>
  </w:num>
  <w:num w:numId="10">
    <w:abstractNumId w:val="14"/>
  </w:num>
  <w:num w:numId="11">
    <w:abstractNumId w:val="8"/>
  </w:num>
  <w:num w:numId="12">
    <w:abstractNumId w:val="3"/>
  </w:num>
  <w:num w:numId="13">
    <w:abstractNumId w:val="17"/>
  </w:num>
  <w:num w:numId="14">
    <w:abstractNumId w:val="10"/>
  </w:num>
  <w:num w:numId="15">
    <w:abstractNumId w:val="5"/>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76"/>
    <w:rsid w:val="00976123"/>
    <w:rsid w:val="00DC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739"/>
  <w15:chartTrackingRefBased/>
  <w15:docId w15:val="{EAB26FF7-A8F9-4450-B53D-E214F02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3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6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3676"/>
    <w:rPr>
      <w:color w:val="0000FF"/>
      <w:u w:val="single"/>
    </w:rPr>
  </w:style>
  <w:style w:type="character" w:customStyle="1" w:styleId="bestwp-entry-meta-single-author">
    <w:name w:val="bestwp-entry-meta-single-author"/>
    <w:basedOn w:val="DefaultParagraphFont"/>
    <w:rsid w:val="00DC3676"/>
  </w:style>
  <w:style w:type="character" w:customStyle="1" w:styleId="author">
    <w:name w:val="author"/>
    <w:basedOn w:val="DefaultParagraphFont"/>
    <w:rsid w:val="00DC3676"/>
  </w:style>
  <w:style w:type="character" w:customStyle="1" w:styleId="screen-reader-text">
    <w:name w:val="screen-reader-text"/>
    <w:basedOn w:val="DefaultParagraphFont"/>
    <w:rsid w:val="00DC3676"/>
  </w:style>
  <w:style w:type="character" w:customStyle="1" w:styleId="bestwp-entry-meta-single-date">
    <w:name w:val="bestwp-entry-meta-single-date"/>
    <w:basedOn w:val="DefaultParagraphFont"/>
    <w:rsid w:val="00DC3676"/>
  </w:style>
  <w:style w:type="paragraph" w:styleId="NormalWeb">
    <w:name w:val="Normal (Web)"/>
    <w:basedOn w:val="Normal"/>
    <w:uiPriority w:val="99"/>
    <w:semiHidden/>
    <w:unhideWhenUsed/>
    <w:rsid w:val="00DC3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676"/>
    <w:rPr>
      <w:b/>
      <w:bCs/>
    </w:rPr>
  </w:style>
  <w:style w:type="paragraph" w:customStyle="1" w:styleId="has-text-align-center">
    <w:name w:val="has-text-align-center"/>
    <w:basedOn w:val="Normal"/>
    <w:rsid w:val="00DC3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DC36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3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9518">
      <w:bodyDiv w:val="1"/>
      <w:marLeft w:val="0"/>
      <w:marRight w:val="0"/>
      <w:marTop w:val="0"/>
      <w:marBottom w:val="0"/>
      <w:divBdr>
        <w:top w:val="none" w:sz="0" w:space="0" w:color="auto"/>
        <w:left w:val="none" w:sz="0" w:space="0" w:color="auto"/>
        <w:bottom w:val="none" w:sz="0" w:space="0" w:color="auto"/>
        <w:right w:val="none" w:sz="0" w:space="0" w:color="auto"/>
      </w:divBdr>
      <w:divsChild>
        <w:div w:id="448932507">
          <w:marLeft w:val="0"/>
          <w:marRight w:val="0"/>
          <w:marTop w:val="0"/>
          <w:marBottom w:val="150"/>
          <w:divBdr>
            <w:top w:val="none" w:sz="0" w:space="0" w:color="auto"/>
            <w:left w:val="none" w:sz="0" w:space="0" w:color="auto"/>
            <w:bottom w:val="none" w:sz="0" w:space="0" w:color="auto"/>
            <w:right w:val="none" w:sz="0" w:space="0" w:color="auto"/>
          </w:divBdr>
        </w:div>
        <w:div w:id="11303212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Tong</dc:creator>
  <cp:keywords/>
  <dc:description/>
  <cp:lastModifiedBy>Thien Tong</cp:lastModifiedBy>
  <cp:revision>1</cp:revision>
  <dcterms:created xsi:type="dcterms:W3CDTF">2022-08-08T04:31:00Z</dcterms:created>
  <dcterms:modified xsi:type="dcterms:W3CDTF">2022-08-08T04:34:00Z</dcterms:modified>
</cp:coreProperties>
</file>